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1A4B" w14:textId="590FB4AD" w:rsidR="00FE4C85" w:rsidRPr="00FE4C85" w:rsidRDefault="00FE4C85" w:rsidP="00FE4C8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orbel" w:cstheme="minorBidi"/>
          <w:color w:val="000000" w:themeColor="text1"/>
          <w:kern w:val="24"/>
        </w:rPr>
        <w:t>Wright C, Tawfik MA, et al. PACG : An Update. Acta Ophthalmol. 2016 May:94(3):217-25.</w:t>
      </w:r>
    </w:p>
    <w:p w14:paraId="68810DE6" w14:textId="334B96C2" w:rsidR="00FE4C85" w:rsidRDefault="00FE4C85" w:rsidP="00FE4C85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FE4C85">
        <w:t>Zhang, Wang et al. Prevalence of PACG in the last 20 years. Front Med (Lausanne)2020;7:624179</w:t>
      </w:r>
    </w:p>
    <w:p w14:paraId="3B6B6B3E" w14:textId="77777777" w:rsidR="00FE4C85" w:rsidRPr="00FE4C85" w:rsidRDefault="00FE4C85" w:rsidP="00FE4C85">
      <w:pPr>
        <w:pStyle w:val="NormalWeb"/>
        <w:numPr>
          <w:ilvl w:val="0"/>
          <w:numId w:val="1"/>
        </w:numPr>
        <w:spacing w:before="0"/>
      </w:pPr>
      <w:r w:rsidRPr="00FE4C85">
        <w:t>Amerasinghe N, Aung T. Angle-closure:risk factors, diagnosis and treatment. Prog Brain Res. 2008;173:31-35.</w:t>
      </w:r>
    </w:p>
    <w:p w14:paraId="2E719BBB" w14:textId="77777777" w:rsidR="00FE4C85" w:rsidRPr="00FE4C85" w:rsidRDefault="00FE4C85" w:rsidP="00FE4C85">
      <w:pPr>
        <w:pStyle w:val="NormalWeb"/>
        <w:numPr>
          <w:ilvl w:val="0"/>
          <w:numId w:val="1"/>
        </w:numPr>
        <w:spacing w:before="0"/>
      </w:pPr>
      <w:r w:rsidRPr="00FE4C85">
        <w:t>NICE Guidelines</w:t>
      </w:r>
    </w:p>
    <w:p w14:paraId="34BB75DA" w14:textId="73F22D2D" w:rsidR="00FE4C85" w:rsidRPr="00FE4C85" w:rsidRDefault="00FE4C85" w:rsidP="00FE4C85">
      <w:pPr>
        <w:pStyle w:val="NormalWeb"/>
        <w:numPr>
          <w:ilvl w:val="0"/>
          <w:numId w:val="1"/>
        </w:numPr>
        <w:spacing w:before="0"/>
      </w:pPr>
      <w:r w:rsidRPr="00FE4C85">
        <w:t>Wallace L M, Alward MD, Reid A Longmuir MD. Colour Atlas of Gonioscopy. Second Edition. Gonioscopic Grading Systems. American Academy of Ophthalmology.</w:t>
      </w:r>
    </w:p>
    <w:p w14:paraId="64C59ADD" w14:textId="77777777" w:rsidR="00FE4C85" w:rsidRDefault="00FE4C85" w:rsidP="00FE4C85">
      <w:pPr>
        <w:pStyle w:val="NormalWeb"/>
        <w:numPr>
          <w:ilvl w:val="0"/>
          <w:numId w:val="1"/>
        </w:numPr>
      </w:pPr>
      <w:r w:rsidRPr="00FE4C85">
        <w:t>Quigley H, Friedman D, Congdon N. Possible Mechanisms of Primary Angle Closure and Malignant Glaucoma. J Glaucoma. 2003 Apr;12(2):167-80.</w:t>
      </w:r>
    </w:p>
    <w:p w14:paraId="20E31C6A" w14:textId="1DF364BB" w:rsidR="00DD56F1" w:rsidRDefault="00713BE9" w:rsidP="00FE4C85">
      <w:pPr>
        <w:pStyle w:val="NormalWeb"/>
        <w:numPr>
          <w:ilvl w:val="0"/>
          <w:numId w:val="1"/>
        </w:numPr>
      </w:pPr>
      <w:hyperlink r:id="rId7" w:history="1">
        <w:r w:rsidR="00094368" w:rsidRPr="006C353F">
          <w:rPr>
            <w:rStyle w:val="Hyperlink"/>
          </w:rPr>
          <w:t>www.gonioscopy.org</w:t>
        </w:r>
      </w:hyperlink>
    </w:p>
    <w:p w14:paraId="771D8640" w14:textId="11478185" w:rsidR="00094368" w:rsidRPr="00FE4C85" w:rsidRDefault="00094368" w:rsidP="00FE4C85">
      <w:pPr>
        <w:pStyle w:val="NormalWeb"/>
        <w:numPr>
          <w:ilvl w:val="0"/>
          <w:numId w:val="1"/>
        </w:numPr>
      </w:pPr>
      <w:r>
        <w:t>www.wopec.co.uk</w:t>
      </w:r>
    </w:p>
    <w:p w14:paraId="081DA64D" w14:textId="29E4C77A" w:rsidR="00FE4C85" w:rsidRPr="00FE4C85" w:rsidRDefault="00FE4C85" w:rsidP="00FE4C85">
      <w:pPr>
        <w:pStyle w:val="NormalWeb"/>
        <w:numPr>
          <w:ilvl w:val="0"/>
          <w:numId w:val="1"/>
        </w:numPr>
        <w:spacing w:before="0"/>
      </w:pPr>
      <w:r w:rsidRPr="00FE4C85">
        <w:t>College Of Optometrists Clinical Guidelines</w:t>
      </w:r>
    </w:p>
    <w:p w14:paraId="2592F4D1" w14:textId="77777777" w:rsidR="00FE4C85" w:rsidRPr="00FE4C85" w:rsidRDefault="00FE4C85" w:rsidP="00FE4C85">
      <w:pPr>
        <w:pStyle w:val="NormalWeb"/>
        <w:numPr>
          <w:ilvl w:val="0"/>
          <w:numId w:val="1"/>
        </w:numPr>
        <w:spacing w:before="0"/>
      </w:pPr>
      <w:r w:rsidRPr="00FE4C85">
        <w:t>Quigley H, Friedman D, Congdon N. Possible Mechanisms of Primary Angle Closure and Malignant Glaucoma. J Glaucoma. 2003 Apr;12(2):167-80.</w:t>
      </w:r>
    </w:p>
    <w:p w14:paraId="091996DE" w14:textId="77777777" w:rsidR="00FE4C85" w:rsidRPr="00FE4C85" w:rsidRDefault="00FE4C85" w:rsidP="00FE4C85">
      <w:pPr>
        <w:pStyle w:val="NormalWeb"/>
        <w:numPr>
          <w:ilvl w:val="0"/>
          <w:numId w:val="1"/>
        </w:numPr>
        <w:spacing w:before="0"/>
      </w:pPr>
      <w:r w:rsidRPr="00FE4C85">
        <w:t>Wallace LM, Alward, Review Of Ophthalmology April 2008.</w:t>
      </w:r>
    </w:p>
    <w:p w14:paraId="37993CB1" w14:textId="77777777" w:rsidR="00FE4C85" w:rsidRPr="00FE4C85" w:rsidRDefault="00FE4C85" w:rsidP="00FE4C85">
      <w:pPr>
        <w:pStyle w:val="NormalWeb"/>
        <w:numPr>
          <w:ilvl w:val="0"/>
          <w:numId w:val="1"/>
        </w:numPr>
      </w:pPr>
      <w:r w:rsidRPr="00FE4C85">
        <w:t xml:space="preserve">Bell P.B, Nguyen D. </w:t>
      </w:r>
      <w:r w:rsidRPr="00FE4C85">
        <w:rPr>
          <w:i/>
          <w:iCs/>
        </w:rPr>
        <w:t>Managing Primary Angle Closure. Lens extraction or peripheral iridotomy?</w:t>
      </w:r>
      <w:r w:rsidRPr="00FE4C85">
        <w:t xml:space="preserve"> Sept/Oct2012. Accessed from </w:t>
      </w:r>
      <w:hyperlink r:id="rId8" w:history="1">
        <w:r w:rsidRPr="00FE4C85">
          <w:rPr>
            <w:rStyle w:val="Hyperlink"/>
          </w:rPr>
          <w:t>https://glaucomatoday.com/articles/2012-sept-oct/managing-primary-angle-closure</w:t>
        </w:r>
      </w:hyperlink>
      <w:r w:rsidRPr="00FE4C85">
        <w:t>. [Accessed May 2021]</w:t>
      </w:r>
    </w:p>
    <w:p w14:paraId="0CBA1D4F" w14:textId="77777777" w:rsidR="00FE4C85" w:rsidRPr="00FE4C85" w:rsidRDefault="00FE4C85" w:rsidP="00FE4C85">
      <w:pPr>
        <w:pStyle w:val="NormalWeb"/>
        <w:numPr>
          <w:ilvl w:val="0"/>
          <w:numId w:val="1"/>
        </w:numPr>
      </w:pPr>
      <w:r w:rsidRPr="00FE4C85">
        <w:t>Nolan W. (2006) Lens extraction in primary angle glaucoma. Br J. Opthalmology. 90(1):1-2</w:t>
      </w:r>
    </w:p>
    <w:p w14:paraId="75E35495" w14:textId="77777777" w:rsidR="00FE4C85" w:rsidRDefault="00FE4C85" w:rsidP="00FE4C85">
      <w:pPr>
        <w:pStyle w:val="NormalWeb"/>
        <w:spacing w:before="0" w:beforeAutospacing="0" w:after="0" w:afterAutospacing="0"/>
      </w:pPr>
    </w:p>
    <w:p w14:paraId="4F02BDAE" w14:textId="77777777" w:rsidR="00224F7B" w:rsidRDefault="00224F7B"/>
    <w:sectPr w:rsidR="00224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FF81" w14:textId="77777777" w:rsidR="00FC253E" w:rsidRDefault="00FC253E" w:rsidP="004C7741">
      <w:pPr>
        <w:spacing w:after="0" w:line="240" w:lineRule="auto"/>
      </w:pPr>
      <w:r>
        <w:separator/>
      </w:r>
    </w:p>
  </w:endnote>
  <w:endnote w:type="continuationSeparator" w:id="0">
    <w:p w14:paraId="4AAB19BF" w14:textId="77777777" w:rsidR="00FC253E" w:rsidRDefault="00FC253E" w:rsidP="004C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5F84" w14:textId="77777777" w:rsidR="004C7741" w:rsidRDefault="004C7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640A" w14:textId="77777777" w:rsidR="004C7741" w:rsidRDefault="004C7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766A" w14:textId="77777777" w:rsidR="004C7741" w:rsidRDefault="004C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1796" w14:textId="77777777" w:rsidR="00FC253E" w:rsidRDefault="00FC253E" w:rsidP="004C7741">
      <w:pPr>
        <w:spacing w:after="0" w:line="240" w:lineRule="auto"/>
      </w:pPr>
      <w:r>
        <w:separator/>
      </w:r>
    </w:p>
  </w:footnote>
  <w:footnote w:type="continuationSeparator" w:id="0">
    <w:p w14:paraId="70A644E5" w14:textId="77777777" w:rsidR="00FC253E" w:rsidRDefault="00FC253E" w:rsidP="004C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1D01" w14:textId="77777777" w:rsidR="004C7741" w:rsidRDefault="004C7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D398" w14:textId="492A56B0" w:rsidR="004C7741" w:rsidRDefault="004C7741">
    <w:pPr>
      <w:pStyle w:val="Header"/>
    </w:pPr>
    <w:r>
      <w:t xml:space="preserve">Angle </w:t>
    </w:r>
    <w:r w:rsidR="007E4735">
      <w:t>Closure Glaucoma – Mrs P Ranjit March 2022</w:t>
    </w:r>
  </w:p>
  <w:p w14:paraId="2950F6D2" w14:textId="58B00793" w:rsidR="007E4735" w:rsidRDefault="007E4735">
    <w:pPr>
      <w:pStyle w:val="Header"/>
    </w:pPr>
    <w:r>
      <w:t>References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6E5F" w14:textId="77777777" w:rsidR="004C7741" w:rsidRDefault="004C7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4F3"/>
    <w:multiLevelType w:val="hybridMultilevel"/>
    <w:tmpl w:val="D5F01326"/>
    <w:lvl w:ilvl="0" w:tplc="104CB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8D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6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A3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02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2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1261A7"/>
    <w:multiLevelType w:val="hybridMultilevel"/>
    <w:tmpl w:val="FCFCED9A"/>
    <w:lvl w:ilvl="0" w:tplc="0809000F">
      <w:start w:val="1"/>
      <w:numFmt w:val="decimal"/>
      <w:lvlText w:val="%1."/>
      <w:lvlJc w:val="left"/>
      <w:pPr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72C9522B"/>
    <w:multiLevelType w:val="hybridMultilevel"/>
    <w:tmpl w:val="FF3077FA"/>
    <w:lvl w:ilvl="0" w:tplc="17CC435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2C7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C740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CD3B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8A8F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66CA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8F2A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580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8C42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5"/>
    <w:rsid w:val="00094368"/>
    <w:rsid w:val="00224F7B"/>
    <w:rsid w:val="004C7741"/>
    <w:rsid w:val="00713BE9"/>
    <w:rsid w:val="007E4735"/>
    <w:rsid w:val="00DD56F1"/>
    <w:rsid w:val="00FC253E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D480"/>
  <w15:chartTrackingRefBased/>
  <w15:docId w15:val="{BCBE6CFD-C72D-4CDD-8331-11A1454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E4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C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741"/>
  </w:style>
  <w:style w:type="paragraph" w:styleId="Footer">
    <w:name w:val="footer"/>
    <w:basedOn w:val="Normal"/>
    <w:link w:val="FooterChar"/>
    <w:uiPriority w:val="99"/>
    <w:unhideWhenUsed/>
    <w:rsid w:val="004C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832">
          <w:marLeft w:val="191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ucomatoday.com/articles/2012-sept-oct/managing-primary-angle-closu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nioscop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4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Cutts</dc:creator>
  <cp:keywords/>
  <dc:description/>
  <cp:lastModifiedBy>Alison Lowell</cp:lastModifiedBy>
  <cp:revision>2</cp:revision>
  <dcterms:created xsi:type="dcterms:W3CDTF">2022-03-07T13:14:00Z</dcterms:created>
  <dcterms:modified xsi:type="dcterms:W3CDTF">2022-03-07T13:14:00Z</dcterms:modified>
</cp:coreProperties>
</file>