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8364"/>
      </w:tblGrid>
      <w:tr w:rsidR="005627E7" w14:paraId="46EB6BA0" w14:textId="77777777" w:rsidTr="00D2501E">
        <w:trPr>
          <w:trHeight w:val="274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2FB3A66A" w14:textId="283A7BD1" w:rsidR="00C24F23" w:rsidRPr="00CD242D" w:rsidRDefault="00982431" w:rsidP="00393F86">
            <w:pPr>
              <w:jc w:val="center"/>
            </w:pPr>
            <w:r w:rsidRPr="00CD242D">
              <w:t>Th</w:t>
            </w:r>
            <w:r w:rsidR="00990381" w:rsidRPr="00CD242D">
              <w:t xml:space="preserve">e </w:t>
            </w:r>
            <w:r w:rsidR="00C24F23" w:rsidRPr="00CD242D">
              <w:rPr>
                <w:b/>
                <w:bCs/>
              </w:rPr>
              <w:t>four categories of medicines supply</w:t>
            </w:r>
            <w:r w:rsidR="00C24F23" w:rsidRPr="00CD242D">
              <w:t xml:space="preserve"> under the </w:t>
            </w:r>
            <w:r w:rsidR="00C24F23" w:rsidRPr="00CD242D">
              <w:rPr>
                <w:b/>
                <w:bCs/>
              </w:rPr>
              <w:t>CUES</w:t>
            </w:r>
            <w:r w:rsidR="006E5AFA">
              <w:rPr>
                <w:b/>
                <w:bCs/>
              </w:rPr>
              <w:t xml:space="preserve"> Service</w:t>
            </w:r>
            <w:r w:rsidR="00C24F23" w:rsidRPr="00CD242D">
              <w:t xml:space="preserve"> in Staffordshire</w:t>
            </w:r>
          </w:p>
          <w:p w14:paraId="4D3D6228" w14:textId="77777777" w:rsidR="00C24F23" w:rsidRPr="00CD242D" w:rsidRDefault="00C24F23" w:rsidP="00C24F23"/>
        </w:tc>
      </w:tr>
      <w:tr w:rsidR="005627E7" w14:paraId="5A944578" w14:textId="77777777" w:rsidTr="00D2501E">
        <w:trPr>
          <w:trHeight w:val="283"/>
        </w:trPr>
        <w:tc>
          <w:tcPr>
            <w:tcW w:w="1417" w:type="dxa"/>
            <w:vMerge w:val="restart"/>
            <w:shd w:val="clear" w:color="auto" w:fill="A8D08D" w:themeFill="accent6" w:themeFillTint="99"/>
          </w:tcPr>
          <w:p w14:paraId="441A5823" w14:textId="77777777" w:rsidR="00C24F23" w:rsidRDefault="00900407" w:rsidP="00C24F23">
            <w:pPr>
              <w:rPr>
                <w:b/>
                <w:bCs/>
                <w:sz w:val="28"/>
                <w:szCs w:val="28"/>
              </w:rPr>
            </w:pPr>
            <w:r w:rsidRPr="00B14523">
              <w:rPr>
                <w:b/>
                <w:bCs/>
                <w:sz w:val="28"/>
                <w:szCs w:val="28"/>
              </w:rPr>
              <w:t>1. GSL/P Medicines</w:t>
            </w:r>
          </w:p>
          <w:p w14:paraId="31064AA0" w14:textId="77777777" w:rsidR="00AF052B" w:rsidRDefault="00AF052B" w:rsidP="00C24F23">
            <w:pPr>
              <w:rPr>
                <w:b/>
                <w:bCs/>
                <w:sz w:val="28"/>
                <w:szCs w:val="28"/>
              </w:rPr>
            </w:pPr>
          </w:p>
          <w:p w14:paraId="0F5D66C3" w14:textId="369A9443" w:rsidR="00AF052B" w:rsidRPr="00D25A36" w:rsidRDefault="00AF052B" w:rsidP="00C24F23">
            <w:pPr>
              <w:rPr>
                <w:i/>
                <w:iCs/>
                <w:sz w:val="24"/>
                <w:szCs w:val="24"/>
              </w:rPr>
            </w:pPr>
            <w:r w:rsidRPr="00D25A36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D25A36">
              <w:rPr>
                <w:b/>
                <w:bCs/>
                <w:i/>
                <w:iCs/>
                <w:sz w:val="24"/>
                <w:szCs w:val="24"/>
                <w:u w:val="single"/>
              </w:rPr>
              <w:t>any</w:t>
            </w:r>
            <w:r w:rsidRPr="00D25A36">
              <w:rPr>
                <w:b/>
                <w:bCs/>
                <w:i/>
                <w:iCs/>
                <w:sz w:val="24"/>
                <w:szCs w:val="24"/>
              </w:rPr>
              <w:t xml:space="preserve"> community pharmacy can supply)</w:t>
            </w:r>
          </w:p>
        </w:tc>
        <w:tc>
          <w:tcPr>
            <w:tcW w:w="8364" w:type="dxa"/>
            <w:shd w:val="clear" w:color="auto" w:fill="C5E0B3" w:themeFill="accent6" w:themeFillTint="66"/>
          </w:tcPr>
          <w:p w14:paraId="25CE36AF" w14:textId="0E418134" w:rsidR="00900407" w:rsidRPr="00410B7A" w:rsidRDefault="00900407" w:rsidP="00900407">
            <w:pPr>
              <w:rPr>
                <w:sz w:val="20"/>
                <w:szCs w:val="20"/>
              </w:rPr>
            </w:pPr>
            <w:r w:rsidRPr="00410B7A">
              <w:rPr>
                <w:sz w:val="20"/>
                <w:szCs w:val="20"/>
              </w:rPr>
              <w:t xml:space="preserve">Under NHSE/I’s OTC </w:t>
            </w:r>
            <w:r w:rsidR="009A419C">
              <w:rPr>
                <w:sz w:val="20"/>
                <w:szCs w:val="20"/>
              </w:rPr>
              <w:t>policy *</w:t>
            </w:r>
            <w:r w:rsidRPr="00410B7A">
              <w:rPr>
                <w:sz w:val="20"/>
                <w:szCs w:val="20"/>
              </w:rPr>
              <w:t xml:space="preserve">, the eye conditions to which the NHS Staffordshire </w:t>
            </w:r>
            <w:r w:rsidR="006F2A3C">
              <w:rPr>
                <w:sz w:val="20"/>
                <w:szCs w:val="20"/>
              </w:rPr>
              <w:t xml:space="preserve">and Stoke-on-Trent </w:t>
            </w:r>
            <w:r w:rsidRPr="00410B7A">
              <w:rPr>
                <w:sz w:val="20"/>
                <w:szCs w:val="20"/>
              </w:rPr>
              <w:t xml:space="preserve">Self-care policy applies are: </w:t>
            </w:r>
          </w:p>
          <w:p w14:paraId="73149C48" w14:textId="77777777" w:rsidR="00900407" w:rsidRPr="00410B7A" w:rsidRDefault="00900407" w:rsidP="009004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10B7A">
              <w:rPr>
                <w:b/>
                <w:bCs/>
                <w:sz w:val="20"/>
                <w:szCs w:val="20"/>
              </w:rPr>
              <w:t>Conjunctivitis</w:t>
            </w:r>
          </w:p>
          <w:p w14:paraId="78BC65A5" w14:textId="77777777" w:rsidR="00900407" w:rsidRPr="00410B7A" w:rsidRDefault="00900407" w:rsidP="009004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10B7A">
              <w:rPr>
                <w:b/>
                <w:bCs/>
                <w:sz w:val="20"/>
                <w:szCs w:val="20"/>
              </w:rPr>
              <w:t>Dry eyes/sore (tired) eyes</w:t>
            </w:r>
          </w:p>
          <w:p w14:paraId="7A243864" w14:textId="5D22EBCB" w:rsidR="00C24F23" w:rsidRPr="006F2A3C" w:rsidRDefault="006F2A3C" w:rsidP="00C24F23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F2A3C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Remember: </w:t>
            </w:r>
            <w:r w:rsidRPr="006F2A3C">
              <w:rPr>
                <w:i/>
                <w:iCs/>
                <w:sz w:val="18"/>
                <w:szCs w:val="18"/>
                <w:u w:val="single"/>
              </w:rPr>
              <w:t>Self-care advice should always be considered before medication</w:t>
            </w:r>
            <w:r>
              <w:rPr>
                <w:i/>
                <w:iCs/>
                <w:sz w:val="18"/>
                <w:szCs w:val="18"/>
                <w:u w:val="single"/>
              </w:rPr>
              <w:t>!</w:t>
            </w:r>
          </w:p>
        </w:tc>
      </w:tr>
      <w:tr w:rsidR="005627E7" w14:paraId="1AE7EF60" w14:textId="77777777" w:rsidTr="00D2501E">
        <w:trPr>
          <w:trHeight w:val="283"/>
        </w:trPr>
        <w:tc>
          <w:tcPr>
            <w:tcW w:w="1417" w:type="dxa"/>
            <w:vMerge/>
            <w:shd w:val="clear" w:color="auto" w:fill="A8D08D" w:themeFill="accent6" w:themeFillTint="99"/>
          </w:tcPr>
          <w:p w14:paraId="52E7B66B" w14:textId="77777777" w:rsidR="00C24F23" w:rsidRDefault="00C24F23" w:rsidP="00C24F23"/>
        </w:tc>
        <w:tc>
          <w:tcPr>
            <w:tcW w:w="8364" w:type="dxa"/>
            <w:shd w:val="clear" w:color="auto" w:fill="E2EFD9" w:themeFill="accent6" w:themeFillTint="33"/>
          </w:tcPr>
          <w:p w14:paraId="7E4B8EFC" w14:textId="0718AEE1" w:rsidR="00900407" w:rsidRPr="002F59BC" w:rsidRDefault="00900407" w:rsidP="00900407">
            <w:pPr>
              <w:rPr>
                <w:sz w:val="20"/>
                <w:szCs w:val="20"/>
              </w:rPr>
            </w:pPr>
            <w:r w:rsidRPr="002F59BC">
              <w:rPr>
                <w:sz w:val="20"/>
                <w:szCs w:val="20"/>
              </w:rPr>
              <w:t>Therefore, for any medicine supplied for either of the above conditions, the patient will be required to purchase OTC (regardless of age or personal finances).  This includes all the GSL and P medicines in the standard CUES/MECS Optometrists’ Formulary, i.e.</w:t>
            </w:r>
          </w:p>
          <w:p w14:paraId="33B950FC" w14:textId="4442DAD2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Chloramphenicol (P)</w:t>
            </w:r>
            <w:r w:rsidRPr="002F59BC">
              <w:rPr>
                <w:sz w:val="20"/>
                <w:szCs w:val="20"/>
              </w:rPr>
              <w:t xml:space="preserve">, </w:t>
            </w:r>
            <w:proofErr w:type="gramStart"/>
            <w:r w:rsidRPr="002F59BC">
              <w:rPr>
                <w:sz w:val="20"/>
                <w:szCs w:val="20"/>
              </w:rPr>
              <w:t>i.e.</w:t>
            </w:r>
            <w:proofErr w:type="gramEnd"/>
            <w:r w:rsidRPr="002F59BC">
              <w:rPr>
                <w:sz w:val="20"/>
                <w:szCs w:val="20"/>
              </w:rPr>
              <w:t xml:space="preserve"> acute bacterial conjunctivitis only, for adults and children 2 years and over *</w:t>
            </w:r>
            <w:r w:rsidR="004123B7">
              <w:rPr>
                <w:sz w:val="20"/>
                <w:szCs w:val="20"/>
              </w:rPr>
              <w:t>*</w:t>
            </w:r>
          </w:p>
          <w:p w14:paraId="67649BB3" w14:textId="77777777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Hypromellose</w:t>
            </w:r>
          </w:p>
          <w:p w14:paraId="19B61F29" w14:textId="77777777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Carbomer 980</w:t>
            </w:r>
          </w:p>
          <w:p w14:paraId="7AD62868" w14:textId="527D7933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Liquid Paraffin</w:t>
            </w:r>
            <w:r w:rsidR="008765CF">
              <w:rPr>
                <w:b/>
                <w:bCs/>
                <w:sz w:val="20"/>
                <w:szCs w:val="20"/>
              </w:rPr>
              <w:t xml:space="preserve"> (either </w:t>
            </w:r>
            <w:proofErr w:type="spellStart"/>
            <w:r w:rsidR="008765CF">
              <w:rPr>
                <w:b/>
                <w:bCs/>
                <w:sz w:val="20"/>
                <w:szCs w:val="20"/>
              </w:rPr>
              <w:t>Xailin</w:t>
            </w:r>
            <w:proofErr w:type="spellEnd"/>
            <w:r w:rsidR="008765CF">
              <w:rPr>
                <w:b/>
                <w:bCs/>
                <w:sz w:val="20"/>
                <w:szCs w:val="20"/>
              </w:rPr>
              <w:t xml:space="preserve"> Night or HYLO NIGHT [formerly </w:t>
            </w:r>
            <w:proofErr w:type="spellStart"/>
            <w:r w:rsidR="008765CF">
              <w:rPr>
                <w:b/>
                <w:bCs/>
                <w:sz w:val="20"/>
                <w:szCs w:val="20"/>
              </w:rPr>
              <w:t>VitaPOS</w:t>
            </w:r>
            <w:proofErr w:type="spellEnd"/>
            <w:r w:rsidR="008765CF">
              <w:rPr>
                <w:b/>
                <w:bCs/>
                <w:sz w:val="20"/>
                <w:szCs w:val="20"/>
              </w:rPr>
              <w:t>] eye ointment)</w:t>
            </w:r>
          </w:p>
          <w:p w14:paraId="04D906AF" w14:textId="77777777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Antazoline and Xylometazoline (</w:t>
            </w:r>
            <w:proofErr w:type="spellStart"/>
            <w:r w:rsidRPr="002F59BC">
              <w:rPr>
                <w:b/>
                <w:bCs/>
                <w:sz w:val="20"/>
                <w:szCs w:val="20"/>
              </w:rPr>
              <w:t>Otrivine-Antistin</w:t>
            </w:r>
            <w:proofErr w:type="spellEnd"/>
            <w:r w:rsidRPr="002F59BC">
              <w:rPr>
                <w:b/>
                <w:bCs/>
                <w:sz w:val="20"/>
                <w:szCs w:val="20"/>
              </w:rPr>
              <w:t>)</w:t>
            </w:r>
          </w:p>
          <w:p w14:paraId="14E22671" w14:textId="77777777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Sodium Cromoglicate</w:t>
            </w:r>
          </w:p>
          <w:p w14:paraId="42E97FBD" w14:textId="77777777" w:rsidR="00900407" w:rsidRPr="002F59BC" w:rsidRDefault="00900407" w:rsidP="009004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F59BC">
              <w:rPr>
                <w:b/>
                <w:bCs/>
                <w:sz w:val="20"/>
                <w:szCs w:val="20"/>
              </w:rPr>
              <w:t>Sodium Hyaluronate</w:t>
            </w:r>
          </w:p>
          <w:p w14:paraId="0539F13A" w14:textId="64D8E29F" w:rsidR="00C24F23" w:rsidRPr="00410B7A" w:rsidRDefault="00900407" w:rsidP="00900407">
            <w:pPr>
              <w:rPr>
                <w:sz w:val="18"/>
                <w:szCs w:val="18"/>
              </w:rPr>
            </w:pPr>
            <w:r w:rsidRPr="002F59BC">
              <w:rPr>
                <w:sz w:val="20"/>
                <w:szCs w:val="20"/>
              </w:rPr>
              <w:t>The CUES patient may buy GSL/P medicines OTC from the optical practice (if in stock).  Alternatively, the CUES practitioner may signpost the patient to a</w:t>
            </w:r>
            <w:r w:rsidR="0015556F">
              <w:rPr>
                <w:sz w:val="20"/>
                <w:szCs w:val="20"/>
              </w:rPr>
              <w:t>ny community</w:t>
            </w:r>
            <w:r w:rsidRPr="002F59BC">
              <w:rPr>
                <w:sz w:val="20"/>
                <w:szCs w:val="20"/>
              </w:rPr>
              <w:t xml:space="preserve"> pharmacy for purchase of GSL/P medicines OTC</w:t>
            </w:r>
            <w:r w:rsidR="00D27DDC" w:rsidRPr="002F59BC">
              <w:rPr>
                <w:sz w:val="20"/>
                <w:szCs w:val="20"/>
              </w:rPr>
              <w:t>,</w:t>
            </w:r>
            <w:r w:rsidRPr="002F59BC">
              <w:rPr>
                <w:sz w:val="20"/>
                <w:szCs w:val="20"/>
              </w:rPr>
              <w:t xml:space="preserve"> by means of the </w:t>
            </w:r>
            <w:r w:rsidRPr="002F59BC">
              <w:rPr>
                <w:b/>
                <w:bCs/>
                <w:sz w:val="20"/>
                <w:szCs w:val="20"/>
              </w:rPr>
              <w:t>Optometrist Referral to Pharmacy form</w:t>
            </w:r>
            <w:r w:rsidR="00D27DDC" w:rsidRPr="002F59BC">
              <w:rPr>
                <w:b/>
                <w:bCs/>
                <w:sz w:val="20"/>
                <w:szCs w:val="20"/>
              </w:rPr>
              <w:t xml:space="preserve"> </w:t>
            </w:r>
            <w:r w:rsidR="00D27DDC" w:rsidRPr="002F59BC">
              <w:rPr>
                <w:i/>
                <w:iCs/>
                <w:sz w:val="20"/>
                <w:szCs w:val="20"/>
              </w:rPr>
              <w:t>(available from Staffordshire LOC website Downloads tab)</w:t>
            </w:r>
          </w:p>
        </w:tc>
      </w:tr>
      <w:tr w:rsidR="005627E7" w14:paraId="28BF90F8" w14:textId="77777777" w:rsidTr="00D2501E">
        <w:trPr>
          <w:trHeight w:val="283"/>
        </w:trPr>
        <w:tc>
          <w:tcPr>
            <w:tcW w:w="1417" w:type="dxa"/>
            <w:vMerge w:val="restart"/>
            <w:shd w:val="clear" w:color="auto" w:fill="8EAADB" w:themeFill="accent1" w:themeFillTint="99"/>
          </w:tcPr>
          <w:p w14:paraId="2B7FEDA6" w14:textId="77777777" w:rsidR="00C24F23" w:rsidRDefault="00900407" w:rsidP="00C24F23">
            <w:pPr>
              <w:rPr>
                <w:b/>
                <w:bCs/>
                <w:sz w:val="28"/>
                <w:szCs w:val="28"/>
              </w:rPr>
            </w:pPr>
            <w:r w:rsidRPr="00B14523">
              <w:rPr>
                <w:b/>
                <w:bCs/>
                <w:sz w:val="28"/>
                <w:szCs w:val="28"/>
              </w:rPr>
              <w:t>2. POM Medicines</w:t>
            </w:r>
          </w:p>
          <w:p w14:paraId="78B6DEB2" w14:textId="77777777" w:rsidR="0015556F" w:rsidRDefault="0015556F" w:rsidP="00C24F23">
            <w:pPr>
              <w:rPr>
                <w:b/>
                <w:bCs/>
                <w:sz w:val="28"/>
                <w:szCs w:val="28"/>
              </w:rPr>
            </w:pPr>
          </w:p>
          <w:p w14:paraId="6E07B480" w14:textId="2774A9CB" w:rsidR="0015556F" w:rsidRPr="00D25A36" w:rsidRDefault="0015556F" w:rsidP="00C24F23">
            <w:pPr>
              <w:rPr>
                <w:i/>
                <w:iCs/>
                <w:sz w:val="24"/>
                <w:szCs w:val="24"/>
              </w:rPr>
            </w:pPr>
            <w:r w:rsidRPr="00D25A36">
              <w:rPr>
                <w:b/>
                <w:bCs/>
                <w:i/>
                <w:iCs/>
                <w:sz w:val="24"/>
                <w:szCs w:val="24"/>
              </w:rPr>
              <w:t>(CPOSS pharmacy only)</w:t>
            </w:r>
          </w:p>
        </w:tc>
        <w:tc>
          <w:tcPr>
            <w:tcW w:w="8364" w:type="dxa"/>
            <w:shd w:val="clear" w:color="auto" w:fill="BDD6EE" w:themeFill="accent5" w:themeFillTint="66"/>
          </w:tcPr>
          <w:p w14:paraId="5EDECBCD" w14:textId="4A2E694A" w:rsidR="00900407" w:rsidRPr="00410B7A" w:rsidRDefault="00900407" w:rsidP="00900407">
            <w:pPr>
              <w:rPr>
                <w:sz w:val="20"/>
                <w:szCs w:val="20"/>
              </w:rPr>
            </w:pPr>
            <w:r w:rsidRPr="00410B7A">
              <w:rPr>
                <w:sz w:val="20"/>
                <w:szCs w:val="20"/>
              </w:rPr>
              <w:t>There are only two POMs in the standard CUES/MECS optometrists’ Formulary.  These are:</w:t>
            </w:r>
          </w:p>
          <w:p w14:paraId="243D4DF1" w14:textId="4BDF3EAA" w:rsidR="00900407" w:rsidRPr="00410B7A" w:rsidRDefault="00900407" w:rsidP="0090040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10B7A">
              <w:rPr>
                <w:b/>
                <w:bCs/>
                <w:sz w:val="20"/>
                <w:szCs w:val="20"/>
              </w:rPr>
              <w:t>Chloramphenicol (POM)</w:t>
            </w:r>
            <w:r w:rsidRPr="00410B7A">
              <w:rPr>
                <w:sz w:val="20"/>
                <w:szCs w:val="20"/>
              </w:rPr>
              <w:t xml:space="preserve">, i.e. First-line topical treatment for superficial ocular infections and as prophylactic following minor ocular trauma, for adults and children </w:t>
            </w:r>
            <w:r w:rsidR="000C521E" w:rsidRPr="000C521E">
              <w:rPr>
                <w:sz w:val="20"/>
                <w:szCs w:val="20"/>
              </w:rPr>
              <w:t xml:space="preserve">1 month and over </w:t>
            </w:r>
            <w:r w:rsidR="000C521E" w:rsidRPr="000C521E">
              <w:rPr>
                <w:i/>
                <w:iCs/>
                <w:sz w:val="20"/>
                <w:szCs w:val="20"/>
                <w:u w:val="single"/>
              </w:rPr>
              <w:t>only if 1.0% eye ointment</w:t>
            </w:r>
            <w:r w:rsidR="000C521E" w:rsidRPr="000C521E">
              <w:rPr>
                <w:sz w:val="20"/>
                <w:szCs w:val="20"/>
              </w:rPr>
              <w:t xml:space="preserve"> – 2 years and over if 0.5% eye drops</w:t>
            </w:r>
            <w:r w:rsidRPr="00410B7A">
              <w:rPr>
                <w:sz w:val="20"/>
                <w:szCs w:val="20"/>
              </w:rPr>
              <w:t xml:space="preserve"> *</w:t>
            </w:r>
            <w:r w:rsidR="004123B7">
              <w:rPr>
                <w:sz w:val="20"/>
                <w:szCs w:val="20"/>
              </w:rPr>
              <w:t>*</w:t>
            </w:r>
          </w:p>
          <w:p w14:paraId="5EE3E18D" w14:textId="77777777" w:rsidR="00900407" w:rsidRPr="00410B7A" w:rsidRDefault="00900407" w:rsidP="0090040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410B7A">
              <w:rPr>
                <w:b/>
                <w:bCs/>
                <w:sz w:val="20"/>
                <w:szCs w:val="20"/>
              </w:rPr>
              <w:t>Fusidic</w:t>
            </w:r>
            <w:proofErr w:type="spellEnd"/>
            <w:r w:rsidRPr="00410B7A">
              <w:rPr>
                <w:b/>
                <w:bCs/>
                <w:sz w:val="20"/>
                <w:szCs w:val="20"/>
              </w:rPr>
              <w:t xml:space="preserve"> Acid</w:t>
            </w:r>
          </w:p>
          <w:p w14:paraId="4ED6FD48" w14:textId="7E7BCA2A" w:rsidR="00C24F23" w:rsidRPr="00410B7A" w:rsidRDefault="00C24F23" w:rsidP="00C24F23">
            <w:pPr>
              <w:rPr>
                <w:sz w:val="18"/>
                <w:szCs w:val="18"/>
              </w:rPr>
            </w:pPr>
          </w:p>
        </w:tc>
      </w:tr>
      <w:tr w:rsidR="005627E7" w14:paraId="18663B5A" w14:textId="77777777" w:rsidTr="00D2501E">
        <w:trPr>
          <w:trHeight w:val="283"/>
        </w:trPr>
        <w:tc>
          <w:tcPr>
            <w:tcW w:w="1417" w:type="dxa"/>
            <w:vMerge/>
            <w:shd w:val="clear" w:color="auto" w:fill="8EAADB" w:themeFill="accent1" w:themeFillTint="99"/>
          </w:tcPr>
          <w:p w14:paraId="46BA91E5" w14:textId="77777777" w:rsidR="00C24F23" w:rsidRDefault="00C24F23" w:rsidP="00C24F23"/>
        </w:tc>
        <w:tc>
          <w:tcPr>
            <w:tcW w:w="8364" w:type="dxa"/>
            <w:shd w:val="clear" w:color="auto" w:fill="DEEAF6" w:themeFill="accent5" w:themeFillTint="33"/>
          </w:tcPr>
          <w:p w14:paraId="09D50569" w14:textId="35FA3FFC" w:rsidR="00900407" w:rsidRPr="002F59BC" w:rsidRDefault="00900407" w:rsidP="00900407">
            <w:pPr>
              <w:rPr>
                <w:sz w:val="20"/>
                <w:szCs w:val="20"/>
              </w:rPr>
            </w:pPr>
            <w:r w:rsidRPr="002F59BC">
              <w:rPr>
                <w:sz w:val="20"/>
                <w:szCs w:val="20"/>
              </w:rPr>
              <w:t xml:space="preserve">Following the discontinuation of </w:t>
            </w:r>
            <w:proofErr w:type="spellStart"/>
            <w:r w:rsidRPr="002F59BC">
              <w:rPr>
                <w:sz w:val="20"/>
                <w:szCs w:val="20"/>
              </w:rPr>
              <w:t>Fucithalmic</w:t>
            </w:r>
            <w:proofErr w:type="spellEnd"/>
            <w:r w:rsidRPr="002F59BC">
              <w:rPr>
                <w:sz w:val="20"/>
                <w:szCs w:val="20"/>
              </w:rPr>
              <w:t xml:space="preserve">, the cost of </w:t>
            </w:r>
            <w:proofErr w:type="spellStart"/>
            <w:r w:rsidRPr="002F59BC">
              <w:rPr>
                <w:sz w:val="20"/>
                <w:szCs w:val="20"/>
              </w:rPr>
              <w:t>Fusidic</w:t>
            </w:r>
            <w:proofErr w:type="spellEnd"/>
            <w:r w:rsidRPr="002F59BC">
              <w:rPr>
                <w:sz w:val="20"/>
                <w:szCs w:val="20"/>
              </w:rPr>
              <w:t xml:space="preserve"> Acid eye drops is highly exorbitant.  Therefore, Chloramphenicol should be used as first line.  However, </w:t>
            </w:r>
            <w:proofErr w:type="spellStart"/>
            <w:r w:rsidRPr="002F59BC">
              <w:rPr>
                <w:sz w:val="20"/>
                <w:szCs w:val="20"/>
              </w:rPr>
              <w:t>Fusidic</w:t>
            </w:r>
            <w:proofErr w:type="spellEnd"/>
            <w:r w:rsidRPr="002F59BC">
              <w:rPr>
                <w:sz w:val="20"/>
                <w:szCs w:val="20"/>
              </w:rPr>
              <w:t xml:space="preserve"> Acid is useful in instances of pregnancy or lactation, or in cases of known hypersensitivity to Chloramphenicol *</w:t>
            </w:r>
            <w:r w:rsidR="009A419C">
              <w:rPr>
                <w:sz w:val="20"/>
                <w:szCs w:val="20"/>
              </w:rPr>
              <w:t>*</w:t>
            </w:r>
          </w:p>
          <w:p w14:paraId="4C3D3947" w14:textId="0ED08F3E" w:rsidR="00900407" w:rsidRPr="002F59BC" w:rsidRDefault="0015556F" w:rsidP="00900407">
            <w:pPr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Pharmacies participating in the </w:t>
            </w:r>
            <w:r w:rsidRPr="0015556F">
              <w:rPr>
                <w:b/>
                <w:bCs/>
                <w:sz w:val="20"/>
                <w:szCs w:val="20"/>
              </w:rPr>
              <w:t>Community Pharmacy Optometry Supply Service (</w:t>
            </w:r>
            <w:r w:rsidR="00900407" w:rsidRPr="0015556F">
              <w:rPr>
                <w:b/>
                <w:bCs/>
                <w:sz w:val="20"/>
                <w:szCs w:val="20"/>
              </w:rPr>
              <w:t>CPOSS</w:t>
            </w:r>
            <w:r w:rsidRPr="0015556F">
              <w:rPr>
                <w:b/>
                <w:bCs/>
                <w:sz w:val="20"/>
                <w:szCs w:val="20"/>
              </w:rPr>
              <w:t>)</w:t>
            </w:r>
            <w:r w:rsidR="00900407" w:rsidRPr="002F59BC">
              <w:rPr>
                <w:sz w:val="20"/>
                <w:szCs w:val="20"/>
              </w:rPr>
              <w:t xml:space="preserve"> can</w:t>
            </w:r>
            <w:r>
              <w:rPr>
                <w:sz w:val="20"/>
                <w:szCs w:val="20"/>
              </w:rPr>
              <w:t xml:space="preserve"> </w:t>
            </w:r>
            <w:r w:rsidR="00900407" w:rsidRPr="002F59BC">
              <w:rPr>
                <w:sz w:val="20"/>
                <w:szCs w:val="20"/>
              </w:rPr>
              <w:t xml:space="preserve">supply POMs under a </w:t>
            </w:r>
            <w:r w:rsidR="00900407" w:rsidRPr="002F59BC">
              <w:rPr>
                <w:b/>
                <w:bCs/>
                <w:sz w:val="20"/>
                <w:szCs w:val="20"/>
              </w:rPr>
              <w:t>written order form</w:t>
            </w:r>
            <w:r w:rsidR="00900407" w:rsidRPr="002F59BC">
              <w:rPr>
                <w:sz w:val="20"/>
                <w:szCs w:val="20"/>
              </w:rPr>
              <w:t xml:space="preserve"> issued by the CUES practitioner </w:t>
            </w:r>
            <w:r w:rsidR="00D27DDC" w:rsidRPr="002F59BC">
              <w:rPr>
                <w:i/>
                <w:iCs/>
                <w:sz w:val="20"/>
                <w:szCs w:val="20"/>
              </w:rPr>
              <w:t>(available from Staffordshire LOC website Downloads tab)</w:t>
            </w:r>
            <w:r w:rsidR="00900407" w:rsidRPr="002F59BC">
              <w:rPr>
                <w:i/>
                <w:iCs/>
                <w:sz w:val="20"/>
                <w:szCs w:val="20"/>
              </w:rPr>
              <w:t xml:space="preserve">.  </w:t>
            </w:r>
            <w:r w:rsidR="00900407" w:rsidRPr="002F59BC">
              <w:rPr>
                <w:sz w:val="20"/>
                <w:szCs w:val="20"/>
              </w:rPr>
              <w:t xml:space="preserve">Alternatively, there is the option to print off a written order form from the CUES OPERA module. </w:t>
            </w:r>
            <w:r w:rsidR="00900407" w:rsidRPr="002F59BC">
              <w:rPr>
                <w:i/>
                <w:iCs/>
                <w:sz w:val="20"/>
                <w:szCs w:val="20"/>
                <w:u w:val="single"/>
              </w:rPr>
              <w:t xml:space="preserve"> POMs cannot be requested using the Optometrist Referral to Pharmacy form.</w:t>
            </w:r>
          </w:p>
          <w:p w14:paraId="6AC811F8" w14:textId="22FFB474" w:rsidR="00C24F23" w:rsidRPr="00410B7A" w:rsidRDefault="00C24F23" w:rsidP="00C24F23">
            <w:pPr>
              <w:rPr>
                <w:sz w:val="18"/>
                <w:szCs w:val="18"/>
              </w:rPr>
            </w:pPr>
          </w:p>
        </w:tc>
      </w:tr>
      <w:tr w:rsidR="005627E7" w14:paraId="7DC3AA11" w14:textId="77777777" w:rsidTr="00D2501E">
        <w:trPr>
          <w:trHeight w:val="283"/>
        </w:trPr>
        <w:tc>
          <w:tcPr>
            <w:tcW w:w="1417" w:type="dxa"/>
            <w:vMerge w:val="restart"/>
            <w:shd w:val="clear" w:color="auto" w:fill="F4B083" w:themeFill="accent2" w:themeFillTint="99"/>
          </w:tcPr>
          <w:p w14:paraId="05C31421" w14:textId="77777777" w:rsidR="00C24F23" w:rsidRDefault="00B14523" w:rsidP="00C24F23">
            <w:pPr>
              <w:rPr>
                <w:b/>
                <w:bCs/>
                <w:sz w:val="24"/>
                <w:szCs w:val="24"/>
              </w:rPr>
            </w:pPr>
            <w:r w:rsidRPr="002F59BC">
              <w:rPr>
                <w:b/>
                <w:bCs/>
                <w:sz w:val="24"/>
                <w:szCs w:val="24"/>
              </w:rPr>
              <w:t>3. Long</w:t>
            </w:r>
            <w:r w:rsidR="002F59BC">
              <w:rPr>
                <w:b/>
                <w:bCs/>
                <w:sz w:val="24"/>
                <w:szCs w:val="24"/>
              </w:rPr>
              <w:t xml:space="preserve"> </w:t>
            </w:r>
            <w:r w:rsidRPr="002F59BC">
              <w:rPr>
                <w:b/>
                <w:bCs/>
                <w:sz w:val="24"/>
                <w:szCs w:val="24"/>
              </w:rPr>
              <w:t>Term Conditions</w:t>
            </w:r>
          </w:p>
          <w:p w14:paraId="04EEE32F" w14:textId="77777777" w:rsidR="0015556F" w:rsidRDefault="0015556F" w:rsidP="00C24F23">
            <w:pPr>
              <w:rPr>
                <w:b/>
                <w:bCs/>
                <w:sz w:val="24"/>
                <w:szCs w:val="24"/>
              </w:rPr>
            </w:pPr>
          </w:p>
          <w:p w14:paraId="73306781" w14:textId="38390B7A" w:rsidR="0015556F" w:rsidRPr="00D25A36" w:rsidRDefault="0015556F" w:rsidP="00C24F23">
            <w:pPr>
              <w:rPr>
                <w:i/>
                <w:iCs/>
                <w:sz w:val="24"/>
                <w:szCs w:val="24"/>
              </w:rPr>
            </w:pPr>
            <w:r w:rsidRPr="00D25A36">
              <w:rPr>
                <w:b/>
                <w:bCs/>
                <w:i/>
                <w:iCs/>
                <w:sz w:val="24"/>
                <w:szCs w:val="24"/>
              </w:rPr>
              <w:t>(FP10 from GP)</w:t>
            </w:r>
          </w:p>
        </w:tc>
        <w:tc>
          <w:tcPr>
            <w:tcW w:w="8364" w:type="dxa"/>
            <w:shd w:val="clear" w:color="auto" w:fill="F7CAAC" w:themeFill="accent2" w:themeFillTint="66"/>
          </w:tcPr>
          <w:p w14:paraId="24FFA0AC" w14:textId="1A0C382E" w:rsidR="00C24F23" w:rsidRPr="00410B7A" w:rsidRDefault="00B14523" w:rsidP="00C24F23">
            <w:pPr>
              <w:rPr>
                <w:sz w:val="20"/>
                <w:szCs w:val="20"/>
              </w:rPr>
            </w:pPr>
            <w:r w:rsidRPr="00410B7A">
              <w:rPr>
                <w:sz w:val="20"/>
                <w:szCs w:val="20"/>
              </w:rPr>
              <w:t xml:space="preserve">If the eye condition is secondary to a more general condition, then there is an exception from NHSE/I’s OTC &amp; DLCV policies, </w:t>
            </w:r>
            <w:proofErr w:type="gramStart"/>
            <w:r w:rsidRPr="00410B7A">
              <w:rPr>
                <w:sz w:val="20"/>
                <w:szCs w:val="20"/>
              </w:rPr>
              <w:t>i.e.</w:t>
            </w:r>
            <w:proofErr w:type="gramEnd"/>
            <w:r w:rsidRPr="00410B7A">
              <w:rPr>
                <w:sz w:val="20"/>
                <w:szCs w:val="20"/>
              </w:rPr>
              <w:t xml:space="preserve"> </w:t>
            </w:r>
            <w:r w:rsidRPr="00DC78D2">
              <w:rPr>
                <w:i/>
                <w:iCs/>
                <w:sz w:val="20"/>
                <w:szCs w:val="20"/>
                <w:u w:val="single"/>
              </w:rPr>
              <w:t>“Patients prescribed OTC products to treat an adverse effect or symptom of a more complex illness and/or prescription only medications should continue to have these products prescribed on the NHS.”</w:t>
            </w:r>
          </w:p>
        </w:tc>
      </w:tr>
      <w:tr w:rsidR="005627E7" w14:paraId="46BFFB97" w14:textId="77777777" w:rsidTr="00D2501E">
        <w:trPr>
          <w:trHeight w:val="283"/>
        </w:trPr>
        <w:tc>
          <w:tcPr>
            <w:tcW w:w="1417" w:type="dxa"/>
            <w:vMerge/>
            <w:shd w:val="clear" w:color="auto" w:fill="F4B083" w:themeFill="accent2" w:themeFillTint="99"/>
          </w:tcPr>
          <w:p w14:paraId="306BAE92" w14:textId="77777777" w:rsidR="00C24F23" w:rsidRPr="002F59BC" w:rsidRDefault="00C24F23" w:rsidP="00C24F23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BE4D5" w:themeFill="accent2" w:themeFillTint="33"/>
          </w:tcPr>
          <w:p w14:paraId="5660483C" w14:textId="7C5E4903" w:rsidR="00C24F23" w:rsidRPr="00DC78D2" w:rsidRDefault="00B14523" w:rsidP="00C24F23">
            <w:pPr>
              <w:rPr>
                <w:sz w:val="20"/>
                <w:szCs w:val="20"/>
              </w:rPr>
            </w:pPr>
            <w:r w:rsidRPr="002F59BC">
              <w:rPr>
                <w:sz w:val="20"/>
                <w:szCs w:val="20"/>
              </w:rPr>
              <w:t xml:space="preserve">Staffordshire LOC and Primary Eyecare Services Ltd </w:t>
            </w:r>
            <w:proofErr w:type="gramStart"/>
            <w:r w:rsidRPr="002F59BC">
              <w:rPr>
                <w:sz w:val="20"/>
                <w:szCs w:val="20"/>
              </w:rPr>
              <w:t>advise</w:t>
            </w:r>
            <w:proofErr w:type="gramEnd"/>
            <w:r w:rsidRPr="002F59BC">
              <w:rPr>
                <w:sz w:val="20"/>
                <w:szCs w:val="20"/>
              </w:rPr>
              <w:t xml:space="preserve"> that CUES practitioners can use this exception (sparingly) in requests for repeat medicines from GPs, </w:t>
            </w:r>
            <w:r w:rsidRPr="00DC78D2">
              <w:rPr>
                <w:i/>
                <w:iCs/>
                <w:sz w:val="20"/>
                <w:szCs w:val="20"/>
              </w:rPr>
              <w:t xml:space="preserve">quoting </w:t>
            </w:r>
            <w:r w:rsidR="00D2501E" w:rsidRPr="00DC78D2">
              <w:rPr>
                <w:i/>
                <w:iCs/>
                <w:sz w:val="20"/>
                <w:szCs w:val="20"/>
              </w:rPr>
              <w:t xml:space="preserve">both </w:t>
            </w:r>
            <w:r w:rsidRPr="00DC78D2">
              <w:rPr>
                <w:i/>
                <w:iCs/>
                <w:sz w:val="20"/>
                <w:szCs w:val="20"/>
              </w:rPr>
              <w:t xml:space="preserve">the fact that this is a general exception from the OTC guidance, and </w:t>
            </w:r>
            <w:r w:rsidR="00DC78D2" w:rsidRPr="00DC78D2">
              <w:rPr>
                <w:i/>
                <w:iCs/>
                <w:sz w:val="20"/>
                <w:szCs w:val="20"/>
              </w:rPr>
              <w:t xml:space="preserve">quoting the underlined text – with </w:t>
            </w:r>
            <w:r w:rsidRPr="00DC78D2">
              <w:rPr>
                <w:i/>
                <w:iCs/>
                <w:sz w:val="20"/>
                <w:szCs w:val="20"/>
              </w:rPr>
              <w:t>the</w:t>
            </w:r>
            <w:r w:rsidR="00D2501E" w:rsidRPr="00DC78D2">
              <w:rPr>
                <w:i/>
                <w:iCs/>
                <w:sz w:val="20"/>
                <w:szCs w:val="20"/>
              </w:rPr>
              <w:t xml:space="preserve"> reason</w:t>
            </w:r>
            <w:r w:rsidR="00DC78D2">
              <w:rPr>
                <w:i/>
                <w:iCs/>
                <w:sz w:val="20"/>
                <w:szCs w:val="20"/>
              </w:rPr>
              <w:t xml:space="preserve"> </w:t>
            </w:r>
            <w:r w:rsidR="00D2501E" w:rsidRPr="00DC78D2">
              <w:rPr>
                <w:i/>
                <w:iCs/>
                <w:sz w:val="20"/>
                <w:szCs w:val="20"/>
              </w:rPr>
              <w:t>for this deviation</w:t>
            </w:r>
            <w:r w:rsidRPr="002F59BC">
              <w:rPr>
                <w:sz w:val="20"/>
                <w:szCs w:val="20"/>
              </w:rPr>
              <w:t>.  In so doing, this will help prevent your prescription requests from being bounced back.</w:t>
            </w:r>
          </w:p>
        </w:tc>
      </w:tr>
      <w:tr w:rsidR="005627E7" w14:paraId="491244C2" w14:textId="77777777" w:rsidTr="00D2501E">
        <w:trPr>
          <w:trHeight w:val="283"/>
        </w:trPr>
        <w:tc>
          <w:tcPr>
            <w:tcW w:w="1417" w:type="dxa"/>
            <w:shd w:val="clear" w:color="auto" w:fill="FFD966" w:themeFill="accent4" w:themeFillTint="99"/>
          </w:tcPr>
          <w:p w14:paraId="3BF86792" w14:textId="2E8F84C4" w:rsidR="00C24F23" w:rsidRPr="002F59BC" w:rsidRDefault="00B14523" w:rsidP="00C24F23">
            <w:pPr>
              <w:rPr>
                <w:sz w:val="24"/>
                <w:szCs w:val="24"/>
              </w:rPr>
            </w:pPr>
            <w:r w:rsidRPr="002F59BC">
              <w:rPr>
                <w:b/>
                <w:bCs/>
                <w:sz w:val="24"/>
                <w:szCs w:val="24"/>
              </w:rPr>
              <w:t xml:space="preserve">4. IP Medicines </w:t>
            </w:r>
            <w:r w:rsidRPr="00D25A36">
              <w:rPr>
                <w:b/>
                <w:bCs/>
                <w:i/>
                <w:iCs/>
                <w:sz w:val="24"/>
                <w:szCs w:val="24"/>
              </w:rPr>
              <w:t>(FP10</w:t>
            </w:r>
            <w:r w:rsidR="0015556F" w:rsidRPr="00D25A36">
              <w:rPr>
                <w:b/>
                <w:bCs/>
                <w:i/>
                <w:iCs/>
                <w:sz w:val="24"/>
                <w:szCs w:val="24"/>
              </w:rPr>
              <w:t xml:space="preserve"> from IP </w:t>
            </w:r>
            <w:proofErr w:type="spellStart"/>
            <w:r w:rsidR="0015556F" w:rsidRPr="00D25A36">
              <w:rPr>
                <w:b/>
                <w:bCs/>
                <w:i/>
                <w:iCs/>
                <w:sz w:val="24"/>
                <w:szCs w:val="24"/>
              </w:rPr>
              <w:t>Optom</w:t>
            </w:r>
            <w:proofErr w:type="spellEnd"/>
            <w:r w:rsidRPr="00D25A36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2F5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5772BBD7" w14:textId="27A75D74" w:rsidR="0015556F" w:rsidRDefault="00B14523" w:rsidP="00B14523">
            <w:pPr>
              <w:rPr>
                <w:sz w:val="20"/>
                <w:szCs w:val="20"/>
              </w:rPr>
            </w:pPr>
            <w:r w:rsidRPr="00410B7A">
              <w:rPr>
                <w:sz w:val="20"/>
                <w:szCs w:val="20"/>
              </w:rPr>
              <w:t xml:space="preserve">The IP Formulary comprises an extended range of topical </w:t>
            </w:r>
            <w:proofErr w:type="spellStart"/>
            <w:r w:rsidRPr="00410B7A">
              <w:rPr>
                <w:sz w:val="20"/>
                <w:szCs w:val="20"/>
              </w:rPr>
              <w:t>antibacterials</w:t>
            </w:r>
            <w:proofErr w:type="spellEnd"/>
            <w:r w:rsidRPr="00410B7A">
              <w:rPr>
                <w:sz w:val="20"/>
                <w:szCs w:val="20"/>
              </w:rPr>
              <w:t>, anti-</w:t>
            </w:r>
            <w:proofErr w:type="spellStart"/>
            <w:r w:rsidRPr="00410B7A">
              <w:rPr>
                <w:sz w:val="20"/>
                <w:szCs w:val="20"/>
              </w:rPr>
              <w:t>virals</w:t>
            </w:r>
            <w:proofErr w:type="spellEnd"/>
            <w:r w:rsidRPr="00410B7A">
              <w:rPr>
                <w:sz w:val="20"/>
                <w:szCs w:val="20"/>
              </w:rPr>
              <w:t xml:space="preserve">, anti-allergy, steroids, antimuscarinic and NSAIDs, enabling IP optometrists to manage a broader scope of eye conditions under CUES.  </w:t>
            </w:r>
            <w:r w:rsidR="0015556F" w:rsidRPr="00D25A36">
              <w:rPr>
                <w:i/>
                <w:iCs/>
                <w:sz w:val="20"/>
                <w:szCs w:val="20"/>
                <w:u w:val="single"/>
              </w:rPr>
              <w:t>Any community pharmacy can dispense</w:t>
            </w:r>
            <w:r w:rsidR="00D25A36" w:rsidRPr="00D25A36">
              <w:rPr>
                <w:i/>
                <w:iCs/>
                <w:sz w:val="20"/>
                <w:szCs w:val="20"/>
                <w:u w:val="single"/>
              </w:rPr>
              <w:t xml:space="preserve"> to an FP10 from an IP </w:t>
            </w:r>
            <w:proofErr w:type="spellStart"/>
            <w:r w:rsidR="00D25A36" w:rsidRPr="00D25A36">
              <w:rPr>
                <w:i/>
                <w:iCs/>
                <w:sz w:val="20"/>
                <w:szCs w:val="20"/>
                <w:u w:val="single"/>
              </w:rPr>
              <w:t>optom</w:t>
            </w:r>
            <w:proofErr w:type="spellEnd"/>
            <w:r w:rsidR="0015556F" w:rsidRPr="00D25A36">
              <w:rPr>
                <w:i/>
                <w:iCs/>
                <w:sz w:val="20"/>
                <w:szCs w:val="20"/>
                <w:u w:val="single"/>
              </w:rPr>
              <w:t>.</w:t>
            </w:r>
          </w:p>
          <w:p w14:paraId="4E23A8DF" w14:textId="5CFB7667" w:rsidR="00C24F23" w:rsidRPr="0015556F" w:rsidRDefault="00B14523" w:rsidP="00C24F23">
            <w:pPr>
              <w:rPr>
                <w:sz w:val="20"/>
                <w:szCs w:val="20"/>
              </w:rPr>
            </w:pPr>
            <w:r w:rsidRPr="00410B7A">
              <w:rPr>
                <w:sz w:val="20"/>
                <w:szCs w:val="20"/>
              </w:rPr>
              <w:t>It is recommended that both IP and non-IP CUES practitioners utilise the College of Optometrist’s Clinical Management Guidelines (CMGs) **</w:t>
            </w:r>
            <w:r w:rsidR="009A419C">
              <w:rPr>
                <w:sz w:val="20"/>
                <w:szCs w:val="20"/>
              </w:rPr>
              <w:t>*</w:t>
            </w:r>
          </w:p>
        </w:tc>
      </w:tr>
      <w:tr w:rsidR="005627E7" w14:paraId="4AE129D9" w14:textId="77777777" w:rsidTr="00D2501E">
        <w:trPr>
          <w:trHeight w:val="20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437D599" w14:textId="675BD9BD" w:rsidR="009A419C" w:rsidRDefault="00B14523" w:rsidP="00B14523">
            <w:pPr>
              <w:rPr>
                <w:i/>
                <w:iCs/>
                <w:sz w:val="18"/>
                <w:szCs w:val="18"/>
              </w:rPr>
            </w:pPr>
            <w:r w:rsidRPr="00D2501E">
              <w:rPr>
                <w:i/>
                <w:iCs/>
                <w:sz w:val="18"/>
                <w:szCs w:val="18"/>
              </w:rPr>
              <w:t xml:space="preserve">* </w:t>
            </w:r>
            <w:r w:rsidR="009A419C" w:rsidRPr="009A419C">
              <w:rPr>
                <w:i/>
                <w:iCs/>
                <w:sz w:val="18"/>
                <w:szCs w:val="18"/>
              </w:rPr>
              <w:t>Guidance on conditions for which over the counter items should not routinely be prescribed in primary care</w:t>
            </w:r>
            <w:r w:rsidR="009A419C">
              <w:rPr>
                <w:i/>
                <w:iCs/>
                <w:sz w:val="18"/>
                <w:szCs w:val="18"/>
              </w:rPr>
              <w:t xml:space="preserve">: </w:t>
            </w:r>
            <w:hyperlink r:id="rId5" w:history="1">
              <w:r w:rsidR="009A419C" w:rsidRPr="009A419C">
                <w:rPr>
                  <w:rStyle w:val="Hyperlink"/>
                  <w:i/>
                  <w:iCs/>
                  <w:sz w:val="18"/>
                  <w:szCs w:val="18"/>
                </w:rPr>
                <w:t>NHS England » Guidance on conditions for which over the counter items should not routinely be prescribed in primary care</w:t>
              </w:r>
            </w:hyperlink>
          </w:p>
          <w:p w14:paraId="0A4BAC59" w14:textId="595E7007" w:rsidR="00B14523" w:rsidRPr="00D2501E" w:rsidRDefault="009A419C" w:rsidP="00B1452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** </w:t>
            </w:r>
            <w:r w:rsidR="00B14523" w:rsidRPr="00D2501E">
              <w:rPr>
                <w:i/>
                <w:iCs/>
                <w:sz w:val="18"/>
                <w:szCs w:val="18"/>
              </w:rPr>
              <w:t xml:space="preserve">The Optometrists’ Formulary (The College of Optometrists): </w:t>
            </w:r>
            <w:hyperlink r:id="rId6" w:history="1">
              <w:r w:rsidR="00B14523" w:rsidRPr="00D2501E">
                <w:rPr>
                  <w:rStyle w:val="Hyperlink"/>
                  <w:i/>
                  <w:iCs/>
                  <w:sz w:val="18"/>
                  <w:szCs w:val="18"/>
                </w:rPr>
                <w:t>Optometrists' Formulary (college-optometrists.org)</w:t>
              </w:r>
            </w:hyperlink>
          </w:p>
          <w:p w14:paraId="141F922D" w14:textId="16FC8F7E" w:rsidR="00B14523" w:rsidRPr="00D2501E" w:rsidRDefault="00B14523" w:rsidP="00B14523">
            <w:pPr>
              <w:rPr>
                <w:i/>
                <w:iCs/>
                <w:sz w:val="18"/>
                <w:szCs w:val="18"/>
              </w:rPr>
            </w:pPr>
            <w:r w:rsidRPr="00D2501E">
              <w:rPr>
                <w:i/>
                <w:iCs/>
                <w:sz w:val="18"/>
                <w:szCs w:val="18"/>
              </w:rPr>
              <w:t>**</w:t>
            </w:r>
            <w:r w:rsidR="009A419C">
              <w:rPr>
                <w:i/>
                <w:iCs/>
                <w:sz w:val="18"/>
                <w:szCs w:val="18"/>
              </w:rPr>
              <w:t>*</w:t>
            </w:r>
            <w:r w:rsidRPr="00D2501E">
              <w:rPr>
                <w:i/>
                <w:iCs/>
                <w:sz w:val="18"/>
                <w:szCs w:val="18"/>
              </w:rPr>
              <w:t xml:space="preserve"> Clinical Management Guidelines (The College of Optometrists): </w:t>
            </w:r>
            <w:hyperlink r:id="rId7" w:history="1">
              <w:r w:rsidRPr="00D2501E">
                <w:rPr>
                  <w:rStyle w:val="Hyperlink"/>
                  <w:i/>
                  <w:iCs/>
                  <w:sz w:val="18"/>
                  <w:szCs w:val="18"/>
                </w:rPr>
                <w:t>Clinical Management Guidelines (college-optometrists.org)</w:t>
              </w:r>
            </w:hyperlink>
          </w:p>
          <w:p w14:paraId="5CE4A6D5" w14:textId="2A8ACDAC" w:rsidR="00C24F23" w:rsidRPr="00410B7A" w:rsidRDefault="00C24F23" w:rsidP="00C24F23">
            <w:pPr>
              <w:rPr>
                <w:sz w:val="20"/>
                <w:szCs w:val="20"/>
              </w:rPr>
            </w:pPr>
          </w:p>
        </w:tc>
      </w:tr>
    </w:tbl>
    <w:p w14:paraId="29099077" w14:textId="77777777" w:rsidR="0094448B" w:rsidRDefault="0094448B"/>
    <w:sectPr w:rsidR="0094448B" w:rsidSect="00D25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C2D"/>
    <w:multiLevelType w:val="hybridMultilevel"/>
    <w:tmpl w:val="3F1E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4FA9"/>
    <w:multiLevelType w:val="hybridMultilevel"/>
    <w:tmpl w:val="B36CA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6932"/>
    <w:multiLevelType w:val="hybridMultilevel"/>
    <w:tmpl w:val="F9248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23"/>
    <w:rsid w:val="00042454"/>
    <w:rsid w:val="000601CF"/>
    <w:rsid w:val="000C521E"/>
    <w:rsid w:val="0015556F"/>
    <w:rsid w:val="002F59BC"/>
    <w:rsid w:val="00393F86"/>
    <w:rsid w:val="00410B7A"/>
    <w:rsid w:val="004123B7"/>
    <w:rsid w:val="005627E7"/>
    <w:rsid w:val="00565977"/>
    <w:rsid w:val="005C0D15"/>
    <w:rsid w:val="005E6A9B"/>
    <w:rsid w:val="006E5AFA"/>
    <w:rsid w:val="006F2A3C"/>
    <w:rsid w:val="008765CF"/>
    <w:rsid w:val="008B52E5"/>
    <w:rsid w:val="00900407"/>
    <w:rsid w:val="00943E3D"/>
    <w:rsid w:val="0094448B"/>
    <w:rsid w:val="00982431"/>
    <w:rsid w:val="00990381"/>
    <w:rsid w:val="009A419C"/>
    <w:rsid w:val="00AF052B"/>
    <w:rsid w:val="00B14523"/>
    <w:rsid w:val="00C0123E"/>
    <w:rsid w:val="00C24F23"/>
    <w:rsid w:val="00CD242D"/>
    <w:rsid w:val="00D2501E"/>
    <w:rsid w:val="00D25A36"/>
    <w:rsid w:val="00D27DDC"/>
    <w:rsid w:val="00D4381B"/>
    <w:rsid w:val="00DC78D2"/>
    <w:rsid w:val="00DD2078"/>
    <w:rsid w:val="00F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317"/>
  <w15:chartTrackingRefBased/>
  <w15:docId w15:val="{DB928CC2-D4AA-4EDA-ABC2-C96EABE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5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www.england.nhs.uk/medicines-2/conditions-for-which-over-the-counter-items-should-not-routinely-be-prescrib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McCracken</dc:creator>
  <cp:keywords/>
  <dc:description/>
  <cp:lastModifiedBy>Alison Lowell</cp:lastModifiedBy>
  <cp:revision>2</cp:revision>
  <cp:lastPrinted>2021-02-25T20:17:00Z</cp:lastPrinted>
  <dcterms:created xsi:type="dcterms:W3CDTF">2021-04-26T08:23:00Z</dcterms:created>
  <dcterms:modified xsi:type="dcterms:W3CDTF">2021-04-26T08:23:00Z</dcterms:modified>
</cp:coreProperties>
</file>